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297" w:rsidRPr="00471B96" w:rsidRDefault="00394297" w:rsidP="0039429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71B96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92CF5A8" wp14:editId="4CD92BC3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97" w:rsidRPr="00471B96" w:rsidRDefault="00394297" w:rsidP="0039429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394297" w:rsidRPr="00471B96" w:rsidRDefault="00394297" w:rsidP="00394297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471B96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394297" w:rsidRPr="00471B96" w:rsidRDefault="00394297" w:rsidP="00394297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471B96">
        <w:rPr>
          <w:rFonts w:ascii="Calibri" w:hAnsi="Calibri" w:cs="Calibri"/>
          <w:b/>
          <w:color w:val="FF0000"/>
          <w:sz w:val="24"/>
          <w:szCs w:val="24"/>
        </w:rPr>
        <w:t xml:space="preserve">(период с </w:t>
      </w:r>
      <w:r>
        <w:rPr>
          <w:rFonts w:ascii="Calibri" w:hAnsi="Calibri" w:cs="Calibri"/>
          <w:b/>
          <w:color w:val="FF0000"/>
          <w:sz w:val="24"/>
          <w:szCs w:val="24"/>
          <w:lang w:val="en-US"/>
        </w:rPr>
        <w:t xml:space="preserve">5 </w:t>
      </w:r>
      <w:r>
        <w:rPr>
          <w:rFonts w:ascii="Calibri" w:hAnsi="Calibri" w:cs="Calibri"/>
          <w:b/>
          <w:color w:val="FF0000"/>
          <w:sz w:val="24"/>
          <w:szCs w:val="24"/>
        </w:rPr>
        <w:t>по 10</w:t>
      </w:r>
      <w:bookmarkStart w:id="0" w:name="_GoBack"/>
      <w:bookmarkEnd w:id="0"/>
      <w:r w:rsidRPr="00471B96">
        <w:rPr>
          <w:rFonts w:ascii="Calibri" w:hAnsi="Calibri" w:cs="Calibri"/>
          <w:b/>
          <w:color w:val="FF0000"/>
          <w:sz w:val="24"/>
          <w:szCs w:val="24"/>
        </w:rPr>
        <w:t xml:space="preserve">  ноября 2024 года)</w:t>
      </w:r>
    </w:p>
    <w:p w:rsidR="00394297" w:rsidRDefault="00394297" w:rsidP="0039429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394297" w:rsidRDefault="00394297" w:rsidP="0039429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394297" w:rsidRDefault="00394297" w:rsidP="0039429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394297" w:rsidRPr="00394297" w:rsidRDefault="00394297" w:rsidP="0039429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94297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394297" w:rsidRPr="00394297" w:rsidRDefault="00394297" w:rsidP="00394297">
      <w:pPr>
        <w:pStyle w:val="1"/>
        <w:jc w:val="both"/>
        <w:rPr>
          <w:rFonts w:ascii="Calibri" w:eastAsiaTheme="minorHAnsi" w:hAnsi="Calibri" w:cs="Calibri"/>
          <w:b/>
          <w:color w:val="auto"/>
          <w:sz w:val="24"/>
          <w:szCs w:val="24"/>
        </w:rPr>
      </w:pPr>
      <w:r w:rsidRPr="00394297">
        <w:rPr>
          <w:rFonts w:ascii="Calibri" w:eastAsiaTheme="minorHAnsi" w:hAnsi="Calibri" w:cs="Calibri"/>
          <w:b/>
          <w:color w:val="auto"/>
          <w:sz w:val="24"/>
          <w:szCs w:val="24"/>
        </w:rPr>
        <w:t>Новые правила оплаты труда наставников вступят в действие с марта 2025 года</w:t>
      </w:r>
    </w:p>
    <w:p w:rsidR="00394297" w:rsidRPr="00394297" w:rsidRDefault="00394297" w:rsidP="0039429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>В федеральном законодательстве установлены особенности трудовых отношений работников-наставников. Новые правила начнут действовать с 1 марта 2025 года. </w:t>
      </w:r>
    </w:p>
    <w:p w:rsidR="00394297" w:rsidRPr="00394297" w:rsidRDefault="00394297" w:rsidP="00394297">
      <w:pPr>
        <w:pStyle w:val="a4"/>
        <w:jc w:val="both"/>
        <w:rPr>
          <w:rFonts w:ascii="Calibri" w:hAnsi="Calibri" w:cs="Calibri"/>
        </w:rPr>
      </w:pPr>
      <w:r w:rsidRPr="00394297">
        <w:rPr>
          <w:rFonts w:ascii="Calibri" w:hAnsi="Calibri" w:cs="Calibri"/>
        </w:rPr>
        <w:t xml:space="preserve">Президент </w:t>
      </w:r>
      <w:r w:rsidRPr="00394297">
        <w:rPr>
          <w:rStyle w:val="a5"/>
          <w:rFonts w:ascii="Calibri" w:hAnsi="Calibri" w:cs="Calibri"/>
        </w:rPr>
        <w:t>Владимир Путин</w:t>
      </w:r>
      <w:r w:rsidRPr="00394297">
        <w:rPr>
          <w:rFonts w:ascii="Calibri" w:hAnsi="Calibri" w:cs="Calibri"/>
        </w:rPr>
        <w:t xml:space="preserve"> подписал закон об особенностях трудовых отношений работников-наставников (</w:t>
      </w:r>
      <w:hyperlink r:id="rId6" w:history="1">
        <w:r w:rsidRPr="00394297">
          <w:rPr>
            <w:rStyle w:val="a3"/>
            <w:rFonts w:ascii="Calibri" w:hAnsi="Calibri" w:cs="Calibri"/>
          </w:rPr>
          <w:t>документ</w:t>
        </w:r>
      </w:hyperlink>
      <w:r w:rsidRPr="00394297">
        <w:rPr>
          <w:rFonts w:ascii="Calibri" w:hAnsi="Calibri" w:cs="Calibri"/>
        </w:rPr>
        <w:t xml:space="preserve"> доступен на «МВ»). Изменения вносятся в главу 55 Трудового кодекса РФ.</w:t>
      </w:r>
    </w:p>
    <w:p w:rsidR="00394297" w:rsidRPr="00394297" w:rsidRDefault="00394297" w:rsidP="00394297">
      <w:pPr>
        <w:pStyle w:val="a4"/>
        <w:jc w:val="both"/>
        <w:rPr>
          <w:rFonts w:ascii="Calibri" w:hAnsi="Calibri" w:cs="Calibri"/>
        </w:rPr>
      </w:pPr>
      <w:r w:rsidRPr="00394297">
        <w:rPr>
          <w:rFonts w:ascii="Calibri" w:hAnsi="Calibri" w:cs="Calibri"/>
        </w:rPr>
        <w:t xml:space="preserve">Согласно новому порядку, наставничество в сфере труда допускается только с согласия руководителя организации. Эта дополнительная работа выполняется на добровольной основе – подписывается соответствующее согласие. Содержание, сроки и форма выполнения работы по наставничеству должны быть прописаны в трудовом договоре сотрудника или </w:t>
      </w:r>
      <w:proofErr w:type="spellStart"/>
      <w:r w:rsidRPr="00394297">
        <w:rPr>
          <w:rFonts w:ascii="Calibri" w:hAnsi="Calibri" w:cs="Calibri"/>
        </w:rPr>
        <w:t>допсоглашении</w:t>
      </w:r>
      <w:proofErr w:type="spellEnd"/>
      <w:r w:rsidRPr="00394297">
        <w:rPr>
          <w:rFonts w:ascii="Calibri" w:hAnsi="Calibri" w:cs="Calibri"/>
        </w:rPr>
        <w:t xml:space="preserve"> к нему.</w:t>
      </w:r>
    </w:p>
    <w:p w:rsidR="00394297" w:rsidRPr="00394297" w:rsidRDefault="00394297" w:rsidP="00394297">
      <w:pPr>
        <w:pStyle w:val="a4"/>
        <w:jc w:val="both"/>
        <w:rPr>
          <w:rFonts w:ascii="Calibri" w:hAnsi="Calibri" w:cs="Calibri"/>
        </w:rPr>
      </w:pPr>
      <w:r w:rsidRPr="00394297">
        <w:rPr>
          <w:rFonts w:ascii="Calibri" w:hAnsi="Calibri" w:cs="Calibri"/>
        </w:rPr>
        <w:t>При этом работник или работодатель могут досрочно отказаться от наставничества. Предупредить об этом сотрудника требуется минимум за три рабочих дня.</w:t>
      </w:r>
    </w:p>
    <w:p w:rsidR="00394297" w:rsidRPr="00394297" w:rsidRDefault="00394297" w:rsidP="00394297">
      <w:pPr>
        <w:pStyle w:val="a4"/>
        <w:jc w:val="both"/>
        <w:rPr>
          <w:rFonts w:ascii="Calibri" w:hAnsi="Calibri" w:cs="Calibri"/>
        </w:rPr>
      </w:pPr>
      <w:r w:rsidRPr="00394297">
        <w:rPr>
          <w:rFonts w:ascii="Calibri" w:hAnsi="Calibri" w:cs="Calibri"/>
        </w:rPr>
        <w:t>Размеры выплат за наставничество, его особенности в государственных и муниципальных компаниях определяются федеральными или региональными нормативными правовыми актами. А в иных организациях – коллективными договорами, соглашениями, локальными нормативными актами. При этом условия должны быть не хуже установленных нормативными правовыми актами и соглашениями в соответствующей сфере. Размер выплат может зависеть от содержания или объема работы по наставничеству.</w:t>
      </w:r>
    </w:p>
    <w:p w:rsidR="00394297" w:rsidRPr="00394297" w:rsidRDefault="00394297" w:rsidP="00394297">
      <w:pPr>
        <w:pStyle w:val="a4"/>
        <w:jc w:val="both"/>
        <w:rPr>
          <w:rFonts w:ascii="Calibri" w:hAnsi="Calibri" w:cs="Calibri"/>
        </w:rPr>
      </w:pPr>
      <w:r w:rsidRPr="00394297">
        <w:rPr>
          <w:rFonts w:ascii="Calibri" w:hAnsi="Calibri" w:cs="Calibri"/>
        </w:rPr>
        <w:t>Разработанный порядок трудовых отношений с наставниками начнет действовать с 1 марта 2025 года. Он позволит закрепить их гарантии и будет служить популяризации наставничества в различных отраслях.</w:t>
      </w:r>
    </w:p>
    <w:p w:rsidR="00394297" w:rsidRPr="00394297" w:rsidRDefault="00394297" w:rsidP="00394297">
      <w:pPr>
        <w:pStyle w:val="a4"/>
        <w:jc w:val="both"/>
        <w:rPr>
          <w:rFonts w:ascii="Calibri" w:hAnsi="Calibri" w:cs="Calibri"/>
        </w:rPr>
      </w:pPr>
      <w:r w:rsidRPr="00394297">
        <w:rPr>
          <w:rFonts w:ascii="Calibri" w:hAnsi="Calibri" w:cs="Calibri"/>
        </w:rPr>
        <w:lastRenderedPageBreak/>
        <w:t xml:space="preserve">Наставники в </w:t>
      </w:r>
      <w:proofErr w:type="spellStart"/>
      <w:r w:rsidRPr="00394297">
        <w:rPr>
          <w:rFonts w:ascii="Calibri" w:hAnsi="Calibri" w:cs="Calibri"/>
        </w:rPr>
        <w:t>медорганизациях</w:t>
      </w:r>
      <w:proofErr w:type="spellEnd"/>
      <w:r w:rsidRPr="00394297">
        <w:rPr>
          <w:rFonts w:ascii="Calibri" w:hAnsi="Calibri" w:cs="Calibri"/>
        </w:rPr>
        <w:t xml:space="preserve"> должны будут, в частности, курировать работу врачей-стажеров. Такие должности </w:t>
      </w:r>
      <w:hyperlink r:id="rId7" w:history="1">
        <w:r w:rsidRPr="00394297">
          <w:rPr>
            <w:rStyle w:val="a3"/>
            <w:rFonts w:ascii="Calibri" w:hAnsi="Calibri" w:cs="Calibri"/>
          </w:rPr>
          <w:t>теперь разрешено</w:t>
        </w:r>
      </w:hyperlink>
      <w:r w:rsidRPr="00394297">
        <w:rPr>
          <w:rFonts w:ascii="Calibri" w:hAnsi="Calibri" w:cs="Calibri"/>
        </w:rPr>
        <w:t xml:space="preserve"> занимать молодым специалистам, которые проучились в ординатуре больше года.</w:t>
      </w:r>
    </w:p>
    <w:p w:rsidR="00394297" w:rsidRPr="00394297" w:rsidRDefault="00394297" w:rsidP="00394297">
      <w:pPr>
        <w:pStyle w:val="a4"/>
        <w:jc w:val="both"/>
        <w:rPr>
          <w:rFonts w:ascii="Calibri" w:hAnsi="Calibri" w:cs="Calibri"/>
        </w:rPr>
      </w:pPr>
      <w:r w:rsidRPr="00394297">
        <w:rPr>
          <w:rFonts w:ascii="Calibri" w:hAnsi="Calibri" w:cs="Calibri"/>
        </w:rPr>
        <w:t xml:space="preserve">Планируется, что специалисты с опытом начнут получать за наставничество стимулирующие надбавки к зарплате. О том, как это отразится на нагрузке и зарплате медиков, «МВ» разбирался </w:t>
      </w:r>
      <w:hyperlink r:id="rId8" w:history="1">
        <w:r w:rsidRPr="00394297">
          <w:rPr>
            <w:rStyle w:val="a3"/>
            <w:rFonts w:ascii="Calibri" w:hAnsi="Calibri" w:cs="Calibri"/>
          </w:rPr>
          <w:t>здесь</w:t>
        </w:r>
      </w:hyperlink>
      <w:r w:rsidRPr="00394297">
        <w:rPr>
          <w:rFonts w:ascii="Calibri" w:hAnsi="Calibri" w:cs="Calibri"/>
        </w:rPr>
        <w:t>.</w:t>
      </w:r>
    </w:p>
    <w:p w:rsidR="00394297" w:rsidRPr="00394297" w:rsidRDefault="00394297" w:rsidP="00394297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9" w:history="1">
        <w:r w:rsidRPr="00394297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https://medvestnik.ru/content/news/Novye-pravila-oplaty-truda-nastavnikov-vstupyat-v-deistvie-s-marta-2025-goda.html</w:t>
        </w:r>
      </w:hyperlink>
    </w:p>
    <w:p w:rsidR="00394297" w:rsidRPr="00394297" w:rsidRDefault="00394297" w:rsidP="00394297">
      <w:pPr>
        <w:jc w:val="both"/>
        <w:rPr>
          <w:rFonts w:ascii="Calibri" w:hAnsi="Calibri" w:cs="Calibri"/>
          <w:b/>
          <w:sz w:val="24"/>
          <w:szCs w:val="24"/>
        </w:rPr>
      </w:pPr>
      <w:r w:rsidRPr="00394297">
        <w:rPr>
          <w:rFonts w:ascii="Calibri" w:hAnsi="Calibri" w:cs="Calibri"/>
          <w:b/>
          <w:sz w:val="24"/>
          <w:szCs w:val="24"/>
        </w:rPr>
        <w:t xml:space="preserve">Регионы получат дополнительные средства на неонатальный скрининг новорожденных в 2024 году 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Правительство направит дополнительное финансирование регионам на проведение расширенного неонатального скрининга новорожденных. Из федерального бюджета будет выделено около 770 млн руб.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На проведение расширенного неонатального скрининга новорожденных из федерального бюджета в 2024 году направят дополнительно около 770 млн руб., </w:t>
      </w:r>
      <w:hyperlink r:id="rId10" w:tgtFrame="_blank" w:history="1">
        <w:r w:rsidRPr="0039429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сообщила</w:t>
        </w:r>
      </w:hyperlink>
      <w:r w:rsidRPr="00394297">
        <w:rPr>
          <w:rFonts w:ascii="Calibri" w:hAnsi="Calibri" w:cs="Calibri"/>
          <w:sz w:val="24"/>
          <w:szCs w:val="24"/>
        </w:rPr>
        <w:t> 7 ноября пресс-служба правительства. </w:t>
      </w:r>
      <w:hyperlink r:id="rId11" w:tgtFrame="_blank" w:history="1">
        <w:r w:rsidRPr="0039429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Распоряжение</w:t>
        </w:r>
      </w:hyperlink>
      <w:r w:rsidRPr="00394297">
        <w:rPr>
          <w:rFonts w:ascii="Calibri" w:hAnsi="Calibri" w:cs="Calibri"/>
          <w:sz w:val="24"/>
          <w:szCs w:val="24"/>
        </w:rPr>
        <w:t xml:space="preserve"> опубликовано на сайте </w:t>
      </w:r>
      <w:proofErr w:type="spellStart"/>
      <w:r w:rsidRPr="00394297">
        <w:rPr>
          <w:rFonts w:ascii="Calibri" w:hAnsi="Calibri" w:cs="Calibri"/>
          <w:sz w:val="24"/>
          <w:szCs w:val="24"/>
        </w:rPr>
        <w:t>кабмина</w:t>
      </w:r>
      <w:proofErr w:type="spellEnd"/>
      <w:r w:rsidRPr="00394297">
        <w:rPr>
          <w:rFonts w:ascii="Calibri" w:hAnsi="Calibri" w:cs="Calibri"/>
          <w:sz w:val="24"/>
          <w:szCs w:val="24"/>
        </w:rPr>
        <w:t>. 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Финансирование будет предоставлено регионам в рамках госпрограммы «Развитие здравоохранения» – </w:t>
      </w:r>
      <w:proofErr w:type="spellStart"/>
      <w:r w:rsidRPr="00394297">
        <w:rPr>
          <w:rFonts w:ascii="Calibri" w:hAnsi="Calibri" w:cs="Calibri"/>
          <w:sz w:val="24"/>
          <w:szCs w:val="24"/>
        </w:rPr>
        <w:t>федпроект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 «Обеспечение расширенного неонатального скрининга». Больше всего средств на эти цели получит Краснодарский край - почти 35,5 млн руб. За ним следуют Московская область (34,4 млн руб.) и Республика Дагестан (32,5 млн руб.).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Программа расширенного неонатального скрининга на 36 редких и наследственных заболеваний </w:t>
      </w:r>
      <w:hyperlink r:id="rId12" w:history="1">
        <w:r w:rsidRPr="0039429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стартовала</w:t>
        </w:r>
      </w:hyperlink>
      <w:r w:rsidRPr="00394297">
        <w:rPr>
          <w:rFonts w:ascii="Calibri" w:hAnsi="Calibri" w:cs="Calibri"/>
          <w:sz w:val="24"/>
          <w:szCs w:val="24"/>
        </w:rPr>
        <w:t xml:space="preserve"> в России с 1 января 2023 года. Ранее детей проверяли на пять заболеваний. Проект курирует 11 федеральных и региональных </w:t>
      </w:r>
      <w:proofErr w:type="spellStart"/>
      <w:r w:rsidRPr="00394297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394297">
        <w:rPr>
          <w:rFonts w:ascii="Calibri" w:hAnsi="Calibri" w:cs="Calibri"/>
          <w:sz w:val="24"/>
          <w:szCs w:val="24"/>
        </w:rPr>
        <w:t>, отвечающих за эти исследования, за каждой из которых закреплены определенные регионы.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По итогам обследований в 2023 году в группу риска </w:t>
      </w:r>
      <w:hyperlink r:id="rId13" w:history="1">
        <w:r w:rsidRPr="0039429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попали</w:t>
        </w:r>
      </w:hyperlink>
      <w:r w:rsidRPr="00394297">
        <w:rPr>
          <w:rFonts w:ascii="Calibri" w:hAnsi="Calibri" w:cs="Calibri"/>
          <w:sz w:val="24"/>
          <w:szCs w:val="24"/>
        </w:rPr>
        <w:t> более 22 тыс. детей из 1,23 млн обследованных. Предполагается, что такие исследования помогают выявлять тяжелые болезни на начальной стадии, быстрее оказывать детям помощь. Сообщалось, что это позволит спасать до 1 тыс. детских жизней ежегодно, писал «МВ».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В августе 2024 года </w:t>
      </w:r>
      <w:proofErr w:type="spellStart"/>
      <w:r w:rsidRPr="00394297">
        <w:rPr>
          <w:rFonts w:ascii="Calibri" w:hAnsi="Calibri" w:cs="Calibri"/>
          <w:sz w:val="24"/>
          <w:szCs w:val="24"/>
        </w:rPr>
        <w:t>кабмин</w:t>
      </w:r>
      <w:proofErr w:type="spellEnd"/>
      <w:r w:rsidRPr="00394297">
        <w:rPr>
          <w:rFonts w:ascii="Calibri" w:hAnsi="Calibri" w:cs="Calibri"/>
          <w:sz w:val="24"/>
          <w:szCs w:val="24"/>
        </w:rPr>
        <w:t> </w:t>
      </w:r>
      <w:hyperlink r:id="rId14" w:history="1">
        <w:r w:rsidRPr="0039429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распорядился выделить</w:t>
        </w:r>
      </w:hyperlink>
      <w:r w:rsidRPr="00394297">
        <w:rPr>
          <w:rFonts w:ascii="Calibri" w:hAnsi="Calibri" w:cs="Calibri"/>
          <w:sz w:val="24"/>
          <w:szCs w:val="24"/>
        </w:rPr>
        <w:t> дополнительно на закупку оборудования для расширенного неонатального скрининга новорожденных из федерального бюджета более 346,3 млн руб. 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В проекте федерального бюджета на 2025–</w:t>
      </w:r>
      <w:r w:rsidRPr="00394297">
        <w:rPr>
          <w:rFonts w:ascii="Calibri" w:hAnsi="Calibri" w:cs="Calibri"/>
          <w:sz w:val="24"/>
          <w:szCs w:val="24"/>
        </w:rPr>
        <w:softHyphen/>
        <w:t>2027 годы расходы на обеспечение неонатального скрининга несколько снижены по сравнению с текущими (2,458 млрд руб.). </w:t>
      </w:r>
      <w:hyperlink r:id="rId15" w:history="1">
        <w:r w:rsidRPr="0039429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Эксперты предполагали</w:t>
        </w:r>
      </w:hyperlink>
      <w:r w:rsidRPr="00394297">
        <w:rPr>
          <w:rFonts w:ascii="Calibri" w:hAnsi="Calibri" w:cs="Calibri"/>
          <w:sz w:val="24"/>
          <w:szCs w:val="24"/>
        </w:rPr>
        <w:t>, что это связано с падением рождаемости.</w:t>
      </w:r>
    </w:p>
    <w:p w:rsidR="00394297" w:rsidRPr="00394297" w:rsidRDefault="00394297" w:rsidP="00394297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16" w:history="1">
        <w:r w:rsidRPr="00394297">
          <w:rPr>
            <w:rStyle w:val="a3"/>
            <w:rFonts w:ascii="Calibri" w:hAnsi="Calibri" w:cs="Calibri"/>
            <w:sz w:val="24"/>
            <w:szCs w:val="24"/>
          </w:rPr>
          <w:t>https://medvestnik.ru/content/news/Regiony-poluchat-dopolnitelnye-sredstva-na-neonatalnyi-skrining-novorojdennyh-v-2024-godu.html</w:t>
        </w:r>
      </w:hyperlink>
    </w:p>
    <w:p w:rsidR="00394297" w:rsidRPr="00394297" w:rsidRDefault="00394297" w:rsidP="0039429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94297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394297" w:rsidRPr="00394297" w:rsidRDefault="00394297" w:rsidP="00394297">
      <w:pPr>
        <w:jc w:val="both"/>
        <w:rPr>
          <w:rFonts w:ascii="Calibri" w:hAnsi="Calibri" w:cs="Calibri"/>
          <w:b/>
          <w:sz w:val="24"/>
          <w:szCs w:val="24"/>
        </w:rPr>
      </w:pPr>
      <w:r w:rsidRPr="00394297">
        <w:rPr>
          <w:rFonts w:ascii="Calibri" w:hAnsi="Calibri" w:cs="Calibri"/>
          <w:b/>
          <w:sz w:val="24"/>
          <w:szCs w:val="24"/>
        </w:rPr>
        <w:t>Регулятор изменит Порядок обезличивания сведений о получателях медпомощи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lastRenderedPageBreak/>
        <w:t>Минздрав РФ вынес на обсуждение Национальной медицинской палаты (НМП) проект приказа, обновляющий Порядок обезличивания сведений о получателях медицинской помощи, а также о людях, в отношении которых проводятся медосмотры и медицинские освидетельствования. Регламент был утвержден в 2018 году. Новая инициатива направлена на рассмотрение на заседании рабочей группы по реализации механизма «регуляторной гильотины». В числе прочего проект приказа утверждает перечень сведений, подлежащих обезличиванию, требования к результату обезличивания, последовательность действий в ходе такого процесса, а также методы его проведения. В случае принятия документ вступит в силу 1 сентября 2025 года и будет действовать в течение шести лет.</w:t>
      </w:r>
    </w:p>
    <w:p w:rsidR="00394297" w:rsidRPr="00394297" w:rsidRDefault="00394297" w:rsidP="0039429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94297">
        <w:rPr>
          <w:rFonts w:ascii="Calibri" w:hAnsi="Calibri" w:cs="Calibri"/>
          <w:spacing w:val="-5"/>
          <w:sz w:val="24"/>
          <w:szCs w:val="24"/>
        </w:rPr>
        <w:t xml:space="preserve">Согласно проекту приказа, обезличивание сведений осуществляется в целях их защиты от несанкционированного использования, причем сохраняется возможность их дальнейшей обработки. В числе сведений, подлежащих обезличиванию, – фамилия, имя, отчество, пол, дата и место рождения, гражданство, данные документа, удостоверяющего личность, номер полиса ОМС, анамнез, диагноз, сведения об оказанных </w:t>
      </w:r>
      <w:proofErr w:type="spellStart"/>
      <w:r w:rsidRPr="00394297">
        <w:rPr>
          <w:rFonts w:ascii="Calibri" w:hAnsi="Calibri" w:cs="Calibri"/>
          <w:spacing w:val="-5"/>
          <w:sz w:val="24"/>
          <w:szCs w:val="24"/>
        </w:rPr>
        <w:t>медуслугах</w:t>
      </w:r>
      <w:proofErr w:type="spellEnd"/>
      <w:r w:rsidRPr="00394297">
        <w:rPr>
          <w:rFonts w:ascii="Calibri" w:hAnsi="Calibri" w:cs="Calibri"/>
          <w:spacing w:val="-5"/>
          <w:sz w:val="24"/>
          <w:szCs w:val="24"/>
        </w:rPr>
        <w:t xml:space="preserve"> и т. д. Для обезличивания сведений используются методы введения идентификаторов, изменения состава или семантики персональных данных путем замены результатами статистической обработки. Идентификатор вычисляется путем криптографического преобразования по предусмотренному ГОСТ алгоритму.</w:t>
      </w:r>
    </w:p>
    <w:p w:rsidR="00394297" w:rsidRPr="00394297" w:rsidRDefault="00394297" w:rsidP="0039429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94297">
        <w:rPr>
          <w:rFonts w:ascii="Calibri" w:hAnsi="Calibri" w:cs="Calibri"/>
          <w:spacing w:val="-5"/>
          <w:sz w:val="24"/>
          <w:szCs w:val="24"/>
        </w:rPr>
        <w:t>В результате обезличивания сведений должны быть сохранены полнота, структурированность, релевантность, семантическая целостность, применимость и анонимность информации. Обезличенные сведения автоматически сохраняются в интегрированной электронной медицинской карте, которая выступает подсистемой Единой государственной информационной системы в сфере здравоохранения (ЕГИСЗ).</w:t>
      </w:r>
    </w:p>
    <w:p w:rsidR="00394297" w:rsidRPr="00394297" w:rsidRDefault="00394297" w:rsidP="0039429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94297">
        <w:rPr>
          <w:rFonts w:ascii="Calibri" w:hAnsi="Calibri" w:cs="Calibri"/>
          <w:spacing w:val="-5"/>
          <w:sz w:val="24"/>
          <w:szCs w:val="24"/>
        </w:rPr>
        <w:t>Люди, имеющие доступ к обезличенным сведениям, а также порядок его предоставления определяются согласно Положению о ЕГИСЗ от 2022 года, а также другим законам и нормативным правовым актам.</w:t>
      </w:r>
    </w:p>
    <w:p w:rsidR="00394297" w:rsidRPr="00394297" w:rsidRDefault="00394297" w:rsidP="0039429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94297">
        <w:rPr>
          <w:rFonts w:ascii="Calibri" w:hAnsi="Calibri" w:cs="Calibri"/>
          <w:spacing w:val="-5"/>
          <w:sz w:val="24"/>
          <w:szCs w:val="24"/>
        </w:rPr>
        <w:t>В декабре 2023 года Минздрав </w:t>
      </w:r>
      <w:hyperlink r:id="rId17" w:history="1">
        <w:r w:rsidRPr="00394297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утвердил</w:t>
        </w:r>
      </w:hyperlink>
      <w:r w:rsidRPr="00394297">
        <w:rPr>
          <w:rFonts w:ascii="Calibri" w:hAnsi="Calibri" w:cs="Calibri"/>
          <w:spacing w:val="-5"/>
          <w:sz w:val="24"/>
          <w:szCs w:val="24"/>
        </w:rPr>
        <w:t> требования к обезличиванию информации ограниченного доступа из системы мониторинга движения лекарственных препаратов (СМДЛП). Данные будут скрывать с помощью идентификаторов, заменяющих часть сведений, а также с использованием обобщения или удаления части сведений. Цель обезличивания информации – сделать невозможным определение принадлежности сведений тому или иному участнику рынка.</w:t>
      </w:r>
    </w:p>
    <w:p w:rsidR="00394297" w:rsidRPr="00394297" w:rsidRDefault="00394297" w:rsidP="0039429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94297">
        <w:rPr>
          <w:rFonts w:ascii="Calibri" w:hAnsi="Calibri" w:cs="Calibri"/>
          <w:spacing w:val="-5"/>
          <w:sz w:val="24"/>
          <w:szCs w:val="24"/>
        </w:rPr>
        <w:t>В января 2024 года ведомство </w:t>
      </w:r>
      <w:hyperlink r:id="rId18" w:history="1">
        <w:r w:rsidRPr="00394297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представило</w:t>
        </w:r>
      </w:hyperlink>
      <w:r w:rsidRPr="00394297">
        <w:rPr>
          <w:rFonts w:ascii="Calibri" w:hAnsi="Calibri" w:cs="Calibri"/>
          <w:spacing w:val="-5"/>
          <w:sz w:val="24"/>
          <w:szCs w:val="24"/>
        </w:rPr>
        <w:t> проект приказа, определяющий состав открытой информации в СМДЛП. Документ не был принят.</w:t>
      </w:r>
    </w:p>
    <w:p w:rsidR="00394297" w:rsidRPr="00394297" w:rsidRDefault="00394297" w:rsidP="0039429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94297">
        <w:rPr>
          <w:rFonts w:ascii="Calibri" w:hAnsi="Calibri" w:cs="Calibri"/>
          <w:spacing w:val="-5"/>
          <w:sz w:val="24"/>
          <w:szCs w:val="24"/>
        </w:rPr>
        <w:t>Кроме того, Минтруд РФ в середине декабря 2023 года </w:t>
      </w:r>
      <w:hyperlink r:id="rId19" w:history="1">
        <w:r w:rsidRPr="00394297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утвердил </w:t>
        </w:r>
      </w:hyperlink>
      <w:r w:rsidRPr="00394297">
        <w:rPr>
          <w:rFonts w:ascii="Calibri" w:hAnsi="Calibri" w:cs="Calibri"/>
          <w:spacing w:val="-5"/>
          <w:sz w:val="24"/>
          <w:szCs w:val="24"/>
        </w:rPr>
        <w:t>Порядок проведения заочной медико-социальной экспертизы с обезличиванием персональных данных. Таким образом, в общем доступе не будут отображаться сведения, касающиеся личной информации гражданина, прошедшего процедуру, а также состав экспертной комиссии.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hyperlink r:id="rId20" w:history="1">
        <w:r w:rsidRPr="00394297">
          <w:rPr>
            <w:rStyle w:val="a3"/>
            <w:rFonts w:ascii="Calibri" w:hAnsi="Calibri" w:cs="Calibri"/>
            <w:sz w:val="24"/>
            <w:szCs w:val="24"/>
          </w:rPr>
          <w:t>https://vademec.ru/news/2024/11/06/regulyator-izmenit-poryadok-obezlichivaniya-svedeniy-o-poluchatelyakh-medpomoshchi/</w:t>
        </w:r>
      </w:hyperlink>
    </w:p>
    <w:p w:rsidR="00394297" w:rsidRPr="00394297" w:rsidRDefault="00394297" w:rsidP="00394297">
      <w:pPr>
        <w:jc w:val="both"/>
        <w:rPr>
          <w:rFonts w:ascii="Calibri" w:hAnsi="Calibri" w:cs="Calibri"/>
          <w:b/>
          <w:color w:val="FF0000"/>
          <w:sz w:val="24"/>
          <w:szCs w:val="24"/>
          <w:lang w:val="en-US"/>
        </w:rPr>
      </w:pPr>
    </w:p>
    <w:p w:rsidR="00605390" w:rsidRPr="00394297" w:rsidRDefault="00EB0832" w:rsidP="0039429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94297">
        <w:rPr>
          <w:rFonts w:ascii="Calibri" w:hAnsi="Calibri" w:cs="Calibri"/>
          <w:b/>
          <w:color w:val="FF0000"/>
          <w:sz w:val="24"/>
          <w:szCs w:val="24"/>
        </w:rPr>
        <w:lastRenderedPageBreak/>
        <w:t>РАЗНОЕ</w:t>
      </w:r>
    </w:p>
    <w:p w:rsidR="00394297" w:rsidRPr="00394297" w:rsidRDefault="00394297" w:rsidP="00394297">
      <w:pPr>
        <w:jc w:val="both"/>
        <w:rPr>
          <w:rFonts w:ascii="Calibri" w:hAnsi="Calibri" w:cs="Calibri"/>
          <w:b/>
          <w:sz w:val="24"/>
          <w:szCs w:val="24"/>
        </w:rPr>
      </w:pPr>
      <w:r w:rsidRPr="00394297">
        <w:rPr>
          <w:rFonts w:ascii="Calibri" w:hAnsi="Calibri" w:cs="Calibri"/>
          <w:b/>
          <w:sz w:val="24"/>
          <w:szCs w:val="24"/>
        </w:rPr>
        <w:t xml:space="preserve">Следователи начали возбуждать уголовные дела на медработников по каждой второй жалобе 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Количество возбужденных в отношении российских врачей уголовных дел достигло рекорда в 2023 году. Особенно резко выросла статистика преследований по тяжкой статье УК РФ об оказании некачественных услуг, повлекших смерть пациента. Эксперты называют цифры серьезным «звоночком».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Красноречивые цифры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В России в 2023 году возбуждалось уголовное дело по каждой второй жалобе на медработника в следственные органы. Такие данные приводятся в статистике Следственного комитета (СКР), которую обнаружил «МВ» (ее подлинность подтвердил источник в правоохранительных кругах на условиях анонимности).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Согласно изученным данным, в прошлом году пациенты подали 4431 жалобу в СКР по поводу оказания медицинской помощи, по итогам их рассмотрения появилось 2332 дела по «врачебным статьям». То есть к разбирательству в рамках УК РФ приводили 52% обращений — показатель резко вырос по сравнению с предыдущими годами. Для сравнения: в 2022-м году жалоб было 5747, а уголовных дел — 1860 (32%), в 2021-м — 6246 и 2095 соответственно (33%). Ранее рекордное количество возбужденных следователями дел против врачей было зафиксировано в 2018 году — 2229 — затем эта цифра снижалась.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noProof/>
          <w:color w:val="E1442F"/>
          <w:sz w:val="24"/>
          <w:szCs w:val="24"/>
        </w:rPr>
        <w:drawing>
          <wp:inline distT="0" distB="0" distL="0" distR="0" wp14:anchorId="15D8AAD5" wp14:editId="341E7922">
            <wp:extent cx="5824800" cy="1657239"/>
            <wp:effectExtent l="0" t="0" r="5080" b="635"/>
            <wp:docPr id="9" name="Рисунок 9" descr="grafik_1_tochno.png (66 KB)">
              <a:hlinkClick xmlns:a="http://schemas.openxmlformats.org/drawingml/2006/main" r:id="rId21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ik_1_tochno.png (66 KB)">
                      <a:hlinkClick r:id="rId21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00" cy="165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Что такое «врачебные» статьи?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Статистика собирается по основным статьям УК РФ, по которым возбуждаются уголовные дела против медработников: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причинение смерти по неосторожности (ч.2 ст. 109 УК РФ);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причинение тяжкого вреда здоровью по неосторожности (ч.2 ст.118 УК РФ);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неоказание помощи больному (ст.124 УК РФ);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незаконное осуществление медицинской или фармацевтической деятельности (ст.235 УК РФ)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нарушение санитарно-эпидемиологических правил (ст.236 УК РФ);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производство, хранение, перевозка либо сбыт товаров и продукции, выполнение работ или оказание услуг, не отвечающих требованиям безопасности (ст.238 УК РФ);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lastRenderedPageBreak/>
        <w:t>халатность (ст.293 УК РФ).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Экономические статьи, по которым также регулярно преследуют врачей (например, за мошенничество или подделку медицинских документов), в приведенной статистике не учитываются.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Представлены данные только Следственного комитета — дела, которые ведет МВД, сюда не попадают, а общей статистики не существует. При этом, как отметил источник «МВ», на СКР приходится больше 90% «врачебных» дел.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Несмотря на резкий рост числа возбужденных дел, только 44% (1183) из них были окончены, а до суда дошло всего 149. По словам собеседника «МВ», это означает, что доказательств следователям не хватило, чтобы позицию обвинения поддержала прокуратура.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noProof/>
          <w:color w:val="E1442F"/>
          <w:sz w:val="24"/>
          <w:szCs w:val="24"/>
        </w:rPr>
        <w:drawing>
          <wp:inline distT="0" distB="0" distL="0" distR="0" wp14:anchorId="1019D955" wp14:editId="4AB34C66">
            <wp:extent cx="6033600" cy="2264613"/>
            <wp:effectExtent l="0" t="0" r="5715" b="2540"/>
            <wp:docPr id="8" name="Рисунок 8" descr="grafik_1.png (35 KB)">
              <a:hlinkClick xmlns:a="http://schemas.openxmlformats.org/drawingml/2006/main" r:id="rId23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fik_1.png (35 KB)">
                      <a:hlinkClick r:id="rId23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26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В результате количество направленных в суды дел и севших на скамью подсудимых медработников снизилось: в 2023 году показатели составляли 149 и 177 соответственно, тогда как в 2022-м — 174 и 193, а в 2021-м — 176 и 196. При этом снизилось количество оправдательных приговоров по «врачебным» статьям — в прошлом году их было только 8, в 2022 и 2021-м — по 19, а в 2019-м — 27.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noProof/>
          <w:color w:val="E1442F"/>
          <w:sz w:val="24"/>
          <w:szCs w:val="24"/>
        </w:rPr>
        <w:lastRenderedPageBreak/>
        <w:drawing>
          <wp:inline distT="0" distB="0" distL="0" distR="0" wp14:anchorId="5B86B993" wp14:editId="5A8A120B">
            <wp:extent cx="5817600" cy="3172619"/>
            <wp:effectExtent l="0" t="0" r="0" b="8890"/>
            <wp:docPr id="7" name="Рисунок 7" descr="grafik_3.png (74 KB)">
              <a:hlinkClick xmlns:a="http://schemas.openxmlformats.org/drawingml/2006/main" r:id="rId25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fik_3.png (74 KB)">
                      <a:hlinkClick r:id="rId25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600" cy="317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Borders>
          <w:top w:val="single" w:sz="18" w:space="0" w:color="E1442F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394297" w:rsidRPr="00394297" w:rsidTr="00492199">
        <w:tc>
          <w:tcPr>
            <w:tcW w:w="9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394297" w:rsidRPr="00394297" w:rsidRDefault="00394297" w:rsidP="0039429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4297">
              <w:rPr>
                <w:rFonts w:ascii="Calibri" w:hAnsi="Calibri" w:cs="Calibri"/>
                <w:sz w:val="24"/>
                <w:szCs w:val="24"/>
              </w:rPr>
              <w:t>Согласно анализу источника «МВ», в среднем в России каждый год выносятся приговоры примерно 200 медработникам. При этом ежегодно возбуждается и находится в производстве 4 тыс. дел, то есть под угрозой уголовного преследования находится 0,7% врачей (каждый 150-й) или 0,2% от общего числа медработников в стране.</w:t>
            </w:r>
          </w:p>
          <w:p w:rsidR="00394297" w:rsidRPr="00394297" w:rsidRDefault="00394297" w:rsidP="0039429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4297">
              <w:rPr>
                <w:rFonts w:ascii="Calibri" w:hAnsi="Calibri" w:cs="Calibri"/>
                <w:noProof/>
                <w:color w:val="E1442F"/>
                <w:sz w:val="24"/>
                <w:szCs w:val="24"/>
              </w:rPr>
              <w:drawing>
                <wp:inline distT="0" distB="0" distL="0" distR="0" wp14:anchorId="7DE3216F" wp14:editId="0D869FAE">
                  <wp:extent cx="5925600" cy="3348253"/>
                  <wp:effectExtent l="0" t="0" r="0" b="5080"/>
                  <wp:docPr id="6" name="Рисунок 6" descr="grafik_4.png (37 KB)">
                    <a:hlinkClick xmlns:a="http://schemas.openxmlformats.org/drawingml/2006/main" r:id="rId27" tgtFrame="&quot;_blank&quot;" tooltip="&quot;Увеличи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afik_4.png (37 KB)">
                            <a:hlinkClick r:id="rId27" tgtFrame="&quot;_blank&quot;" tooltip="&quot;Увеличи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600" cy="334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Чаще всего дела в отношении медработников возбуждаются по ч.2 ст.109 УК РФ — причинение смерти по неосторожности вследствие ненадлежащего исполнения профессиональных обязанностей: в прошлом году таких случаев было больше 1,6 тыс. (71%). По сравнению с прошлым годом показатель увеличился на 23%. Еще 24 уголовных дела были возбуждены за причинение тяжкого вреда здоровью по неосторожности </w:t>
      </w:r>
      <w:r w:rsidRPr="00394297">
        <w:rPr>
          <w:rFonts w:ascii="Calibri" w:hAnsi="Calibri" w:cs="Calibri"/>
          <w:sz w:val="24"/>
          <w:szCs w:val="24"/>
        </w:rPr>
        <w:lastRenderedPageBreak/>
        <w:t>вследствие ненадлежащего исполнения профессиональных обязанностей (ч.2 ст.118 УК РФ) — по сравнению с предыдущими годами, число таких дел снизилось.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noProof/>
          <w:color w:val="E1442F"/>
          <w:sz w:val="24"/>
          <w:szCs w:val="24"/>
        </w:rPr>
        <w:drawing>
          <wp:inline distT="0" distB="0" distL="0" distR="0" wp14:anchorId="00A88F89" wp14:editId="5D972C85">
            <wp:extent cx="5796000" cy="2268775"/>
            <wp:effectExtent l="0" t="0" r="0" b="0"/>
            <wp:docPr id="5" name="Рисунок 5" descr="grafik_5.png (79 KB)">
              <a:hlinkClick xmlns:a="http://schemas.openxmlformats.org/drawingml/2006/main" r:id="rId29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fik_5.png (79 KB)">
                      <a:hlinkClick r:id="rId29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22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Опасная 238-я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На втором месте по популярности — статья 238 УК РФ (оказание медицинских услуг, не отвечающих требованиям безопасности). Всего по ней возбудили в 2023 году дела против 463 медработников, из них половина (247 человек) проходили по тяжкой второй части.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Выполнение работ или оказание услуг, не отвечающих требованиям безопасности, наказывается: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если не причинен тяжкий вред здоровью пациента, до двух лет лишения свободы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если такие деяния повлекли по неосторожности причинение тяжкого вреда здоровью либо смерть человека, до шести лет лишения свободы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если из-за неосторожности произошла смерть двух или более человек — до десяти лет лишения свободы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На ст.238 УК РФ в прошлом году пришлось 20% уголовных дел — и это беспрецедентное значение, говорит собеседник «МВ». Ранее показатель колебался в районе 10-13%. То есть тенденция очевидна: этот состав стал шире использоваться следствием. Одной из причин может быть длительность сроков расследования медицинских преступлений — по другим «ятрогенным» статьям срок давности составляет два года, а по 238-й — десять лет.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«За несколько лет следствие часто просто не успевает разобраться, и поэтому может квалифицировать преступление именно по 238-й статье с целью процессуальной перестраховки, чтобы работать в рамках сроков давности», — пояснил эксперт.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При этом он отметил, что более широкое использование этой статьи отражает только позицию следствия, но не факт, что прокуратура и суд ее поддержат.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Тем не менее, это уже «звоночек», считает собеседник «МВ». Выльется ли он в угрожающий тренд, будет понятно весной 2025 года, когда появится статистика по обвинительным приговорам против врачей по этой статье.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Пока же есть данные анализа судебных решений из базы «Гарант», согласно которым в среднем 80% проходящих по ст.238 УК РФ врачей получают обвинительный приговор. При </w:t>
      </w:r>
      <w:r w:rsidRPr="00394297">
        <w:rPr>
          <w:rFonts w:ascii="Calibri" w:hAnsi="Calibri" w:cs="Calibri"/>
          <w:sz w:val="24"/>
          <w:szCs w:val="24"/>
        </w:rPr>
        <w:lastRenderedPageBreak/>
        <w:t>этом, значительно чаще такие дела возбуждаются в отношении сотрудников государственных медучреждений — на их долю приходится больше 60% от общего количества. «Это говорит о том, что под 238-ю подводят не некачественные платные услуги, как многие считают, а часто именно помощь по ОМС», — пояснил собеседник «МВ».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Реальный цугцванг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Скачок в частоте уголовного преследования медработников действительно произошел, констатирует эксперт, и речь не просто о процентном отклонении, а о явной </w:t>
      </w:r>
      <w:proofErr w:type="spellStart"/>
      <w:r w:rsidRPr="00394297">
        <w:rPr>
          <w:rFonts w:ascii="Calibri" w:hAnsi="Calibri" w:cs="Calibri"/>
          <w:sz w:val="24"/>
          <w:szCs w:val="24"/>
        </w:rPr>
        <w:t>переориентрованности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 следственных органов. «Рост, который мы видим по числу дел, не говорит о росте преступности в медицине. Просто очевидно, что клинический случай в рамках проверки, ограниченной 30 сутками, разобрать крайне сложно. И теперь позиция следователей в том, чтобы проверять доводы заявителей уже в рамках расследования уголовного дела», — отметил он.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При этом, на его взгляд, пока нельзя с уверенностью сказать, что это приведет к росту направленных в суды дел и количества осужденных медработников, тем более что по итогам 2023 года эти показатели были ниже.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Руководитель экспертно-юридической группы «Медика </w:t>
      </w:r>
      <w:proofErr w:type="spellStart"/>
      <w:r w:rsidRPr="00394297">
        <w:rPr>
          <w:rFonts w:ascii="Calibri" w:hAnsi="Calibri" w:cs="Calibri"/>
          <w:sz w:val="24"/>
          <w:szCs w:val="24"/>
        </w:rPr>
        <w:t>пруф</w:t>
      </w:r>
      <w:proofErr w:type="spellEnd"/>
      <w:r w:rsidRPr="00394297">
        <w:rPr>
          <w:rFonts w:ascii="Calibri" w:hAnsi="Calibri" w:cs="Calibri"/>
          <w:sz w:val="24"/>
          <w:szCs w:val="24"/>
        </w:rPr>
        <w:t>» Артем Зуев более пессимистичен: по его прогнозу, нынешние вердикты судов и их количество — отголоски дел, возбужденных в 2017-2018 годах, а через несколько лет свежие «</w:t>
      </w:r>
      <w:proofErr w:type="spellStart"/>
      <w:r w:rsidRPr="00394297">
        <w:rPr>
          <w:rFonts w:ascii="Calibri" w:hAnsi="Calibri" w:cs="Calibri"/>
          <w:sz w:val="24"/>
          <w:szCs w:val="24"/>
        </w:rPr>
        <w:t>уголовки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» приведут к большему количеству приговоров. По подсчетам юриста, число обвиненных врачей может вырасти даже вдвое. Одна из причин — следствие качественнее и </w:t>
      </w:r>
      <w:proofErr w:type="spellStart"/>
      <w:r w:rsidRPr="00394297">
        <w:rPr>
          <w:rFonts w:ascii="Calibri" w:hAnsi="Calibri" w:cs="Calibri"/>
          <w:sz w:val="24"/>
          <w:szCs w:val="24"/>
        </w:rPr>
        <w:t>доскональнее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 стало собирать доказательства вины медработников после создания в СКР специализированных центров по расследованию ятрогенных преступлений, а также судебно-экспертного центра, который проводит экспертизы по таким делам. Кроме того, влияет переориентация следователей на возбуждение дел по ст.238 УК РФ.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«По этой статье, которая так серьезно выросла в медицине, уголовные дела так просто не будут закрыты, и через несколько лет они </w:t>
      </w:r>
      <w:proofErr w:type="spellStart"/>
      <w:r w:rsidRPr="00394297">
        <w:rPr>
          <w:rFonts w:ascii="Calibri" w:hAnsi="Calibri" w:cs="Calibri"/>
          <w:sz w:val="24"/>
          <w:szCs w:val="24"/>
        </w:rPr>
        <w:t>посыпятся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 в суды. К сожалению, тенденция не только в количество дел, но и в том, что теперь становится основанием для преследования. Если раньше это были дефекты медпомощи (неправильные назначения, не следование стандартам медпомощи, врач объективно плохо собрал анамнез и т.д.), то теперь часто медработников наказывают за естественные операционные осложнения», — пояснил Зуев.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Он привел в пример уголовное дело врача-гинеколога из Читы, которого осудили за назначение пациентке операции из-за подозрения на опухоль яичников, в результате которой из-за ошибок при анестезии женщина умерла. Суд счел назначение необоснованным, хотя защита пыталась объяснить, что только при проведении такого вмешательства можно было исключить или подтвердить онкологию.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«Получается ситуация цугцванг: если врач не будет назначать операции, то может быть осложнение от запущенного заболевания, и пациент также подаст иск. А если назначить — то есть риск пойти под суд из-за случившихся при операции осложнений», — отметил Зуев. На его взгляд, выводить в зону уголовного преследования осложнения — значит, полностью криминализировать медицину, которая в итоге перестанет существовать в нормальном виде.</w:t>
      </w: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lastRenderedPageBreak/>
        <w:t>«К сожалению, я все чаще вижу, что по итогам экспертизы осложнения даже у пожилых людей с рядом хронических болезней трактуются, как причинение тяжкого вреда здоровью», — добавил юрист.</w:t>
      </w:r>
    </w:p>
    <w:p w:rsidR="00394297" w:rsidRPr="00394297" w:rsidRDefault="00394297" w:rsidP="00394297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>Артем Зуев: «Врачи стали получать реальные сроки, особенно по 238-й статье. Пугает также то, что все чаще суды одновременно выносят запрет на медицинскую деятельность, что никак не укладывается в голове на фоне дефицита кадров. Например, в моей практике один врач получил три года колонии-поселения, еще три года запрета на работу в медицине — то есть его фактически убирают из профессии. Она выбывает минимум на шесть лет — чтобы потом вернуться к практике, даже при желании, надо будет снова обучаться. Учитывая возраст некоторых осужденных, в профессию они не будут возвращаться. А молодые специалисты после судов уходят из профессии, потому что не хотят снова через это проходить. Так, один из моих клиентов-врачей после расследования дела с его участием собрался работать в ветеринарии».</w:t>
      </w:r>
    </w:p>
    <w:p w:rsidR="00394297" w:rsidRPr="00394297" w:rsidRDefault="00394297" w:rsidP="00394297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>Не согласен с заявлениями коллег об ужесточении уголовного преследования медработников глава юридической компании «</w:t>
      </w:r>
      <w:proofErr w:type="spellStart"/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>Росмедконсалтинг</w:t>
      </w:r>
      <w:proofErr w:type="spellEnd"/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 xml:space="preserve">» Алексей </w:t>
      </w:r>
      <w:proofErr w:type="spellStart"/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>Горяинов</w:t>
      </w:r>
      <w:proofErr w:type="spellEnd"/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>. Количество жалоб пациентов не снижается, но мораторий на проверки бизнеса, на его взгляд, существенно сократил количество вытекающих по их результатам последствий, «что, безусловно, идет в плюс для врачей».</w:t>
      </w:r>
    </w:p>
    <w:p w:rsidR="00394297" w:rsidRPr="00394297" w:rsidRDefault="00394297" w:rsidP="00394297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 xml:space="preserve">«Из тенденций я наблюдаю рост количества проверок и дел, связанных с приписками в ОМС и иными умышленными преступлениями должностного или экономического характера», — отметил </w:t>
      </w:r>
      <w:proofErr w:type="spellStart"/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>Горяинов</w:t>
      </w:r>
      <w:proofErr w:type="spellEnd"/>
      <w:r w:rsidRPr="00394297">
        <w:rPr>
          <w:rFonts w:ascii="Calibri" w:eastAsia="Times New Roman" w:hAnsi="Calibri" w:cs="Calibri"/>
          <w:sz w:val="24"/>
          <w:szCs w:val="24"/>
          <w:lang w:eastAsia="ru-RU"/>
        </w:rPr>
        <w:t xml:space="preserve"> и добавил, что ст.238 УК РФ «как была средством следствия для возбуждения дел, когда это требуется правоохранительным органам, так она ею и остается». </w:t>
      </w:r>
    </w:p>
    <w:p w:rsidR="00394297" w:rsidRPr="00394297" w:rsidRDefault="00394297" w:rsidP="00394297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297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hyperlink r:id="rId31" w:history="1">
        <w:r w:rsidRPr="00394297">
          <w:rPr>
            <w:rStyle w:val="a3"/>
            <w:rFonts w:ascii="Calibri" w:hAnsi="Calibri" w:cs="Calibri"/>
            <w:sz w:val="24"/>
            <w:szCs w:val="24"/>
          </w:rPr>
          <w:t>https://medvestnik.ru/content/news/Sledovateli-nachali-vozbujdat-ugolovnye-dela-na-medrabotnikov-po-kajdoi-vtoroi-jalobe.html</w:t>
        </w:r>
      </w:hyperlink>
    </w:p>
    <w:p w:rsidR="00394297" w:rsidRPr="00394297" w:rsidRDefault="00394297" w:rsidP="0039429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605390" w:rsidRPr="00394297" w:rsidRDefault="00605390" w:rsidP="00394297">
      <w:pPr>
        <w:jc w:val="both"/>
        <w:rPr>
          <w:rFonts w:ascii="Calibri" w:hAnsi="Calibri" w:cs="Calibri"/>
          <w:b/>
          <w:sz w:val="24"/>
          <w:szCs w:val="24"/>
        </w:rPr>
      </w:pPr>
      <w:r w:rsidRPr="00394297">
        <w:rPr>
          <w:rFonts w:ascii="Calibri" w:hAnsi="Calibri" w:cs="Calibri"/>
          <w:b/>
          <w:sz w:val="24"/>
          <w:szCs w:val="24"/>
        </w:rPr>
        <w:t xml:space="preserve">«Это не повышение оплаты, а переработки»: эксперты про ситуацию на скорой помощи 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В октябре Минздрав ответил на депутатский запрос о возможности повышения специальных </w:t>
      </w:r>
      <w:proofErr w:type="spellStart"/>
      <w:r w:rsidRPr="00394297">
        <w:rPr>
          <w:rFonts w:ascii="Calibri" w:hAnsi="Calibri" w:cs="Calibri"/>
          <w:sz w:val="24"/>
          <w:szCs w:val="24"/>
        </w:rPr>
        <w:t>соцвыплат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 (ССВ) для медработников скорой помощи, который направлял зампред Комитета Госдумы по охране здоровья </w:t>
      </w:r>
      <w:r w:rsidRPr="00394297">
        <w:rPr>
          <w:rStyle w:val="a5"/>
          <w:rFonts w:ascii="Calibri" w:hAnsi="Calibri" w:cs="Calibri"/>
          <w:color w:val="1A1B1D"/>
          <w:sz w:val="24"/>
          <w:szCs w:val="24"/>
        </w:rPr>
        <w:t>Алексей Куринный</w:t>
      </w:r>
      <w:r w:rsidRPr="00394297">
        <w:rPr>
          <w:rFonts w:ascii="Calibri" w:hAnsi="Calibri" w:cs="Calibri"/>
          <w:sz w:val="24"/>
          <w:szCs w:val="24"/>
        </w:rPr>
        <w:t>. В письме за подписью министра здравоохранения </w:t>
      </w:r>
      <w:r w:rsidRPr="00394297">
        <w:rPr>
          <w:rStyle w:val="a5"/>
          <w:rFonts w:ascii="Calibri" w:hAnsi="Calibri" w:cs="Calibri"/>
          <w:color w:val="1A1B1D"/>
          <w:sz w:val="24"/>
          <w:szCs w:val="24"/>
        </w:rPr>
        <w:t>Михаила Мурашко</w:t>
      </w:r>
      <w:r w:rsidRPr="00394297">
        <w:rPr>
          <w:rFonts w:ascii="Calibri" w:hAnsi="Calibri" w:cs="Calibri"/>
          <w:sz w:val="24"/>
          <w:szCs w:val="24"/>
        </w:rPr>
        <w:t> ведомство снова заявило, что правительством уже даны поручения регионам об изменении оплаты труда, но отчиталось, что благосостояние медработников российской «скорой» растет: по сравнению с 2023 годом зарплата врачей и среднего медперсонала в среднем по России увеличилась на 11,4%. В отдельных субъектах (Пензенской и Московской областях) фиксируется рост на 42—56%, а в большинстве — на 10—30%. По сведениям Минздрава, зарплаты врачей выросли в 52 субъектах, среднего медперсонала — в 61.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«МВ» попросил представителей профсоюзов медработников оценить приведенные цифры.</w:t>
      </w:r>
    </w:p>
    <w:p w:rsidR="00605390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hyperlink r:id="rId32" w:history="1">
        <w:r w:rsidR="00605390" w:rsidRPr="00394297">
          <w:rPr>
            <w:rStyle w:val="a3"/>
            <w:rFonts w:ascii="Calibri" w:hAnsi="Calibri" w:cs="Calibri"/>
            <w:b/>
            <w:bCs/>
            <w:color w:val="1B1C1D"/>
            <w:sz w:val="24"/>
            <w:szCs w:val="24"/>
          </w:rPr>
          <w:t>Андрей Коновал</w:t>
        </w:r>
      </w:hyperlink>
      <w:r w:rsidR="00605390" w:rsidRPr="00394297">
        <w:rPr>
          <w:rFonts w:ascii="Calibri" w:hAnsi="Calibri" w:cs="Calibri"/>
          <w:sz w:val="24"/>
          <w:szCs w:val="24"/>
        </w:rPr>
        <w:t>, сопредседатель межрегионального профсоюза работников здравоохранения «Действие»: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«После таких заявлений Минздрава я специально связался с нашим профкомом в Пензенской области. В этом регионе одно учреждение в сфере оказания скорой медпомощи — областная станция СМП, у нас есть данные по зарплатам в ней.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Так вот, не знаю, о каких прибавках в 50% говорит министр Мурашко, но, например, зарплата среднего медперсонала в реанимационных бригадах выросла с 38 тыс. руб. в 2023 году до 43-44 тыс. руб. в 2024-м — рост есть, но он составляет только около 14%. Зарплата линейных фельдшеров без опыта на ставку выросла примерно с 25 тыс. до 27,5 тыс. руб. (+10%), с опытом — с 37,4 тыс. до 39,8 тыс. руб. (+6,4%). Зарплаты медсестер без опыта сейчас составляют 26,3 тыс. руб. (было около 23 тыс. руб., рост +14,3%), медсестер с опытом даже больше семи лет и высшей категорией — не превышают 33 тыс. руб. на ставку. Врач анестезиолог-реаниматолог в бригаде получает 67,2 тыс. руб. на ставку (+6,3%), старший врач — около 60 тыс. (+6,7%).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Если по цифрам Пензенской области такая дезинформация, то я полагаю, примерно такое же «доверие» внушают и остальные цифры в среднем по России — возможно, они приукрашены в несколько раз.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Причем очень важно, что в письме министр оперирует средними зарплатами. А как они могут вырасти? Очень просто. Если народ стал разбегаться со «скорой» после того, как правительство решило обойти их повышенными ССВ — а мы точно знаем, что отток кадров происходит интенсивный — значит, средняя зарплата растет в связи с ростом переработок и коэффициента совместительства. Это не повышение оплаты труда.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Как раз на пензенской скорой не может </w:t>
      </w:r>
      <w:proofErr w:type="gramStart"/>
      <w:r w:rsidRPr="00394297">
        <w:rPr>
          <w:rFonts w:ascii="Calibri" w:hAnsi="Calibri" w:cs="Calibri"/>
          <w:sz w:val="24"/>
          <w:szCs w:val="24"/>
        </w:rPr>
        <w:t>быть  такой</w:t>
      </w:r>
      <w:proofErr w:type="gramEnd"/>
      <w:r w:rsidRPr="00394297">
        <w:rPr>
          <w:rFonts w:ascii="Calibri" w:hAnsi="Calibri" w:cs="Calibri"/>
          <w:sz w:val="24"/>
          <w:szCs w:val="24"/>
        </w:rPr>
        <w:t xml:space="preserve"> рост даже за счет переработок. Как раз потому что водителей не хватает. А значит бригаду не могут выпустить на линию без водителей.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Даже если взять за правду, что зарплаты выросли на 11%, что такое этот рост по сравнению с реальной инфляцией? И насколько этот рост справедлив, если взять другие категории работников?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Почему «скорая» так отреагировала на то, что ей не повысили ССВ, как ряду других медработников? Потому что, если держать в голове, что для врачей первичного звена </w:t>
      </w:r>
      <w:proofErr w:type="spellStart"/>
      <w:r w:rsidRPr="00394297">
        <w:rPr>
          <w:rFonts w:ascii="Calibri" w:hAnsi="Calibri" w:cs="Calibri"/>
          <w:sz w:val="24"/>
          <w:szCs w:val="24"/>
        </w:rPr>
        <w:t>соцвыплаты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 выросли с 17 тыс. до 50 тыс. руб. в некоторых городах, то с учетом средних зарплат их доход повысился более чем на 50%. А на скорой помощи — только на 11%.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К сожалению, письмо министра производит пессимистичное впечатление — боюсь, что с такими отчетами нам просто остается ожидать дальнейшей деградации службы скорой помощи».</w:t>
      </w:r>
    </w:p>
    <w:p w:rsidR="00605390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hyperlink r:id="rId33" w:history="1">
        <w:r w:rsidR="00605390" w:rsidRPr="00394297">
          <w:rPr>
            <w:rStyle w:val="a3"/>
            <w:rFonts w:ascii="Calibri" w:hAnsi="Calibri" w:cs="Calibri"/>
            <w:b/>
            <w:bCs/>
            <w:color w:val="1B1C1D"/>
            <w:sz w:val="24"/>
            <w:szCs w:val="24"/>
          </w:rPr>
          <w:t>Дмитрий Беляков</w:t>
        </w:r>
      </w:hyperlink>
      <w:r w:rsidR="00605390" w:rsidRPr="00394297">
        <w:rPr>
          <w:rFonts w:ascii="Calibri" w:hAnsi="Calibri" w:cs="Calibri"/>
          <w:sz w:val="24"/>
          <w:szCs w:val="24"/>
        </w:rPr>
        <w:t>, председатель независимого профсоюза фельдшеров скорой помощи «</w:t>
      </w:r>
      <w:proofErr w:type="spellStart"/>
      <w:r w:rsidR="00605390" w:rsidRPr="00394297">
        <w:rPr>
          <w:rFonts w:ascii="Calibri" w:hAnsi="Calibri" w:cs="Calibri"/>
          <w:sz w:val="24"/>
          <w:szCs w:val="24"/>
        </w:rPr>
        <w:t>Фельдшер.ру</w:t>
      </w:r>
      <w:proofErr w:type="spellEnd"/>
      <w:r w:rsidR="00605390" w:rsidRPr="00394297">
        <w:rPr>
          <w:rFonts w:ascii="Calibri" w:hAnsi="Calibri" w:cs="Calibri"/>
          <w:sz w:val="24"/>
          <w:szCs w:val="24"/>
        </w:rPr>
        <w:t>»: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«Отчет о таких успехах с зарплатами «скорой» абсолютно не соответствует действительности — в этом году базовые выплаты на ставку (оклады) увеличивали, но одновременно с этим снижали стимулирующие, надбавки. В итоге в лучшем случае размер зарплат просто остался на прежнем уровне.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lastRenderedPageBreak/>
        <w:t>Бывает даже хуже — в Московской области за август-сентябрь 2024 года «</w:t>
      </w:r>
      <w:proofErr w:type="spellStart"/>
      <w:r w:rsidRPr="00394297">
        <w:rPr>
          <w:rFonts w:ascii="Calibri" w:hAnsi="Calibri" w:cs="Calibri"/>
          <w:sz w:val="24"/>
          <w:szCs w:val="24"/>
        </w:rPr>
        <w:t>скоропомощники</w:t>
      </w:r>
      <w:proofErr w:type="spellEnd"/>
      <w:r w:rsidRPr="00394297">
        <w:rPr>
          <w:rFonts w:ascii="Calibri" w:hAnsi="Calibri" w:cs="Calibri"/>
          <w:sz w:val="24"/>
          <w:szCs w:val="24"/>
        </w:rPr>
        <w:t>» получили сущие копейки вместо зарплат (некоторые по 10-30 тыс. руб. максимум). Хотя руководство объяснило это техническим сбоем, сейчас, когда зарплаты доначисляются, люди сообщают, что они все равно не досчитываются своих денег — вплоть до 10 тыс. руб.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В Москве ситуация в плане динамики зарплат не особенно лучше — хотя там платят выше, чем по всей стране, люди со скорой помощи уходят. Очень много в этом году уволилось водителей — отток случился настолько интенсивный, что вдоль заборов некоторых подстанций СМП и больниц стоят не использующиеся машины «скорой».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Если говорить о цифрах: в Подмосковье на ставку фельдшер получает около 40 тыс. руб. на ставку, в Москве — 55 тыс. руб. В других регионах это может быть и около 15 тыс. руб. на ставку, и пока ни о каком улучшении благосостояния медработников «скорой» говорить вообще не приходится.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Минздрав приводит данные по зарплатам, включая в показатели суммы, которые большинство работников «скорой» получает, работая на 1,5 ставки и больше. Ведомство может считать это нормой, умалчивая, что это огромное количество часов непрерывного труда».</w:t>
      </w:r>
    </w:p>
    <w:p w:rsidR="00605390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hyperlink r:id="rId34" w:history="1">
        <w:r w:rsidR="00605390" w:rsidRPr="00394297">
          <w:rPr>
            <w:rStyle w:val="a3"/>
            <w:rFonts w:ascii="Calibri" w:hAnsi="Calibri" w:cs="Calibri"/>
            <w:b/>
            <w:bCs/>
            <w:color w:val="1B1C1D"/>
            <w:sz w:val="24"/>
            <w:szCs w:val="24"/>
          </w:rPr>
          <w:t xml:space="preserve">Михаил </w:t>
        </w:r>
        <w:proofErr w:type="spellStart"/>
        <w:r w:rsidR="00605390" w:rsidRPr="00394297">
          <w:rPr>
            <w:rStyle w:val="a3"/>
            <w:rFonts w:ascii="Calibri" w:hAnsi="Calibri" w:cs="Calibri"/>
            <w:b/>
            <w:bCs/>
            <w:color w:val="1B1C1D"/>
            <w:sz w:val="24"/>
            <w:szCs w:val="24"/>
          </w:rPr>
          <w:t>Андрочников</w:t>
        </w:r>
        <w:proofErr w:type="spellEnd"/>
      </w:hyperlink>
      <w:r w:rsidR="00605390" w:rsidRPr="00394297">
        <w:rPr>
          <w:rFonts w:ascii="Calibri" w:hAnsi="Calibri" w:cs="Calibri"/>
          <w:sz w:val="24"/>
          <w:szCs w:val="24"/>
        </w:rPr>
        <w:t>, заместитель председателя ЦК Профсоюза работников здравоохранения РФ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>«Отдельно зарплаты по скорой помощи мы не считали, но система оплаты труда у всех медработников схожая. Важно понимать, что в стране исторически сложился такой подход, что медицина — это так называемый служебный труд. Оплата за него состоит не только из денег (размер зарплат всегда был очень небольшим), но дополнительно еще выплачиваются социальные блага в натуральной форме, о которых пишет министр (по-простому, льготы, например, служебное жилье, льготная ипотека и т.д.).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Но в чем нынешняя проблема — во время Советского Союза эти социальные блага были достаточно крупные: выделялись квартиры, санаторный отдых для семьи, бесплатный проезд. На самом деле если эти советские льготы перевести в денежную форму, получится сумма приблизительно еще одной зарплаты. Но после того, как в 2004 году вышел закон № 122-ФЗ «О монетизации льгот», размер этих социальных благ </w:t>
      </w:r>
      <w:proofErr w:type="spellStart"/>
      <w:r w:rsidRPr="00394297">
        <w:rPr>
          <w:rFonts w:ascii="Calibri" w:hAnsi="Calibri" w:cs="Calibri"/>
          <w:sz w:val="24"/>
          <w:szCs w:val="24"/>
        </w:rPr>
        <w:t>схлопнулся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 — решение по ним было отдано территориям, которые в среднем их уменьшили втрое. Поэтому сейчас получается, что с одной стороны, и зарплата по-настоящему не увеличивается (потому что до сих пор не сложилась рыночная система оплаты труда), но и льгот, как это было раньше, даже близко не появилось.</w:t>
      </w:r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  <w:r w:rsidRPr="00394297">
        <w:rPr>
          <w:rFonts w:ascii="Calibri" w:hAnsi="Calibri" w:cs="Calibri"/>
          <w:sz w:val="24"/>
          <w:szCs w:val="24"/>
        </w:rPr>
        <w:t xml:space="preserve">Минздрав пытается этим письмом объяснить, почему не стоит ждать повышения ССВ для «скорой». Мне кажется, проблема в том, что медработники на службы СМП не до конца понимают, что зарплата и </w:t>
      </w:r>
      <w:proofErr w:type="spellStart"/>
      <w:r w:rsidRPr="00394297">
        <w:rPr>
          <w:rFonts w:ascii="Calibri" w:hAnsi="Calibri" w:cs="Calibri"/>
          <w:sz w:val="24"/>
          <w:szCs w:val="24"/>
        </w:rPr>
        <w:t>соцвыплаты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 — это совершенно разные вещи. Надо государству, чтобы вы здесь работали </w:t>
      </w:r>
      <w:proofErr w:type="gramStart"/>
      <w:r w:rsidRPr="00394297">
        <w:rPr>
          <w:rFonts w:ascii="Calibri" w:hAnsi="Calibri" w:cs="Calibri"/>
          <w:sz w:val="24"/>
          <w:szCs w:val="24"/>
        </w:rPr>
        <w:t>—</w:t>
      </w:r>
      <w:proofErr w:type="gramEnd"/>
      <w:r w:rsidRPr="00394297">
        <w:rPr>
          <w:rFonts w:ascii="Calibri" w:hAnsi="Calibri" w:cs="Calibri"/>
          <w:sz w:val="24"/>
          <w:szCs w:val="24"/>
        </w:rPr>
        <w:t xml:space="preserve"> оно пытается этими дополнительными благами перенаправить поток кадров и закрыть потребности в медпомощи. Эта выплата на самом деле никоим образом не связана с трудом. Она связана именно с рабочим местом. Государству все равно, откуда туда врач пришел, например, в дефицитную по кадрам «</w:t>
      </w:r>
      <w:proofErr w:type="spellStart"/>
      <w:r w:rsidRPr="00394297">
        <w:rPr>
          <w:rFonts w:ascii="Calibri" w:hAnsi="Calibri" w:cs="Calibri"/>
          <w:sz w:val="24"/>
          <w:szCs w:val="24"/>
        </w:rPr>
        <w:t>первичку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» — со скорой помощи, из стационара в городе. Главная цель — закрыть место человеком, а </w:t>
      </w:r>
      <w:r w:rsidRPr="00394297">
        <w:rPr>
          <w:rFonts w:ascii="Calibri" w:hAnsi="Calibri" w:cs="Calibri"/>
          <w:sz w:val="24"/>
          <w:szCs w:val="24"/>
        </w:rPr>
        <w:lastRenderedPageBreak/>
        <w:t xml:space="preserve">результаты труда, или появление новых дыр из-за такого </w:t>
      </w:r>
      <w:proofErr w:type="spellStart"/>
      <w:r w:rsidRPr="00394297">
        <w:rPr>
          <w:rFonts w:ascii="Calibri" w:hAnsi="Calibri" w:cs="Calibri"/>
          <w:sz w:val="24"/>
          <w:szCs w:val="24"/>
        </w:rPr>
        <w:t>перетока</w:t>
      </w:r>
      <w:proofErr w:type="spellEnd"/>
      <w:r w:rsidRPr="00394297">
        <w:rPr>
          <w:rFonts w:ascii="Calibri" w:hAnsi="Calibri" w:cs="Calibri"/>
          <w:sz w:val="24"/>
          <w:szCs w:val="24"/>
        </w:rPr>
        <w:t xml:space="preserve"> кадров государству уже менее интересны».</w:t>
      </w:r>
    </w:p>
    <w:p w:rsidR="00605390" w:rsidRPr="00394297" w:rsidRDefault="00394297" w:rsidP="00394297">
      <w:pPr>
        <w:jc w:val="both"/>
        <w:rPr>
          <w:rFonts w:ascii="Calibri" w:hAnsi="Calibri" w:cs="Calibri"/>
          <w:sz w:val="24"/>
          <w:szCs w:val="24"/>
        </w:rPr>
      </w:pPr>
      <w:hyperlink r:id="rId35" w:history="1">
        <w:r w:rsidR="00605390" w:rsidRPr="00394297">
          <w:rPr>
            <w:rStyle w:val="a3"/>
            <w:rFonts w:ascii="Calibri" w:hAnsi="Calibri" w:cs="Calibri"/>
            <w:sz w:val="24"/>
            <w:szCs w:val="24"/>
          </w:rPr>
          <w:t>https://medvestnik.ru/content/news/Eto-ne-povyshenie-oplaty-a-pererabotki-eksperty-pro-situaciu-na-skoroi-pomoshi.html</w:t>
        </w:r>
      </w:hyperlink>
    </w:p>
    <w:p w:rsidR="00605390" w:rsidRPr="00394297" w:rsidRDefault="00605390" w:rsidP="00394297">
      <w:pPr>
        <w:jc w:val="both"/>
        <w:rPr>
          <w:rFonts w:ascii="Calibri" w:hAnsi="Calibri" w:cs="Calibri"/>
          <w:sz w:val="24"/>
          <w:szCs w:val="24"/>
        </w:rPr>
      </w:pPr>
    </w:p>
    <w:sectPr w:rsidR="00605390" w:rsidRPr="0039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5C1B"/>
    <w:multiLevelType w:val="multilevel"/>
    <w:tmpl w:val="A614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90"/>
    <w:rsid w:val="000B599A"/>
    <w:rsid w:val="002177CF"/>
    <w:rsid w:val="0024538B"/>
    <w:rsid w:val="00375C8E"/>
    <w:rsid w:val="00394297"/>
    <w:rsid w:val="00605390"/>
    <w:rsid w:val="00E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DC46"/>
  <w15:chartTrackingRefBased/>
  <w15:docId w15:val="{5D985F22-5799-4864-A7A4-C873B938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3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053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605390"/>
  </w:style>
  <w:style w:type="character" w:customStyle="1" w:styleId="s1">
    <w:name w:val="s1"/>
    <w:basedOn w:val="a0"/>
    <w:rsid w:val="00605390"/>
  </w:style>
  <w:style w:type="character" w:styleId="a5">
    <w:name w:val="Strong"/>
    <w:basedOn w:val="a0"/>
    <w:uiPriority w:val="22"/>
    <w:qFormat/>
    <w:rsid w:val="0060539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05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4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Unresolved Mention"/>
    <w:basedOn w:val="a0"/>
    <w:uiPriority w:val="99"/>
    <w:semiHidden/>
    <w:unhideWhenUsed/>
    <w:rsid w:val="0039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77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32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7027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2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22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419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433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1962611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6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8575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35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4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279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4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0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9136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6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33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9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318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2119447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360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82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0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05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397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1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87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06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1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309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2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4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397288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296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6225656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443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V-ramkah-proekta-neonatalnogo-skrininga-v-gruppu-riska-za-god-vkluchili-bolee-22-tys-detei.html" TargetMode="External"/><Relationship Id="rId18" Type="http://schemas.openxmlformats.org/officeDocument/2006/relationships/hyperlink" Target="https://regulation.gov.ru/Regulation/Npa/PublicView?npaID=144767" TargetMode="External"/><Relationship Id="rId26" Type="http://schemas.openxmlformats.org/officeDocument/2006/relationships/image" Target="media/image4.png"/><Relationship Id="rId21" Type="http://schemas.openxmlformats.org/officeDocument/2006/relationships/hyperlink" Target="https://medvestnik.ru/apps/mv/assets/storage/content/news/1052/105257/novayapapka/grafik_1_tochno.png" TargetMode="External"/><Relationship Id="rId34" Type="http://schemas.openxmlformats.org/officeDocument/2006/relationships/hyperlink" Target="https://medvestnik.ru/directory/persons/Androchnikov-Mihail-Mihailovich.html" TargetMode="External"/><Relationship Id="rId7" Type="http://schemas.openxmlformats.org/officeDocument/2006/relationships/hyperlink" Target="https://medvestnik.ru/content/news/Minzdrav-sdelal-bessrochnym-prikaz-o-dopuske-studentov-medicinskih-vuzov-k-rabote.html" TargetMode="External"/><Relationship Id="rId12" Type="http://schemas.openxmlformats.org/officeDocument/2006/relationships/hyperlink" Target="https://medvestnik.ru/content/news/Rasshirennyi-skrining-vkluchen-v-obnovlennyi-poryadok-medpomoshi-pri-nasledstvennyh-zabolevaniyah.html" TargetMode="External"/><Relationship Id="rId17" Type="http://schemas.openxmlformats.org/officeDocument/2006/relationships/hyperlink" Target="https://vademec.ru/news/2023/12/04/minzdrav-utverdil-metody-obezlichivaniya-informatsii-pri-monitoringe-dvizheniya-lekarstv/" TargetMode="External"/><Relationship Id="rId25" Type="http://schemas.openxmlformats.org/officeDocument/2006/relationships/hyperlink" Target="https://medvestnik.ru/apps/mv/assets/storage/content/news/1052/105257/novayapapka/grafik_3.png" TargetMode="External"/><Relationship Id="rId33" Type="http://schemas.openxmlformats.org/officeDocument/2006/relationships/hyperlink" Target="https://medvestnik.ru/directory/persons/Belyakov-Dmitr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Regiony-poluchat-dopolnitelnye-sredstva-na-neonatalnyi-skrining-novorojdennyh-v-2024-godu.html" TargetMode="External"/><Relationship Id="rId20" Type="http://schemas.openxmlformats.org/officeDocument/2006/relationships/hyperlink" Target="https://vademec.ru/news/2024/11/06/regulyator-izmenit-poryadok-obezlichivaniya-svedeniy-o-poluchatelyakh-medpomoshchi/" TargetMode="External"/><Relationship Id="rId29" Type="http://schemas.openxmlformats.org/officeDocument/2006/relationships/hyperlink" Target="https://medvestnik.ru/apps/mv/assets/storage/content/news/1052/105257/novayapapka/grafik_5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vestnik.ru/content/documents/381-FZ-ot-09-11-2024.html" TargetMode="External"/><Relationship Id="rId11" Type="http://schemas.openxmlformats.org/officeDocument/2006/relationships/hyperlink" Target="http://static.government.ru/media/files/TA1tTQfZJVyAnxDS0K8U0aVUDXSHdBn8.pdf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medvestnik.ru/directory/persons/Konoval-Andrei-Petrovich.html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Sderjannyi-rost-dolya-zdravoohraneniya-v-obshih-rashodah-budjeta-ne-uvelichivaetsya.html" TargetMode="External"/><Relationship Id="rId23" Type="http://schemas.openxmlformats.org/officeDocument/2006/relationships/hyperlink" Target="https://medvestnik.ru/apps/mv/assets/storage/content/news/1052/105257/novayapapka/grafik_1.png" TargetMode="External"/><Relationship Id="rId28" Type="http://schemas.openxmlformats.org/officeDocument/2006/relationships/image" Target="media/image5.png"/><Relationship Id="rId36" Type="http://schemas.openxmlformats.org/officeDocument/2006/relationships/fontTable" Target="fontTable.xml"/><Relationship Id="rId10" Type="http://schemas.openxmlformats.org/officeDocument/2006/relationships/hyperlink" Target="http://government.ru/news/53233/" TargetMode="External"/><Relationship Id="rId19" Type="http://schemas.openxmlformats.org/officeDocument/2006/relationships/hyperlink" Target="https://vademec.ru/news/2023/12/15/mintrud-ustanovil-poryadok-obezlichivaniya-dannykh-pri-zaochnom-prokhozhdenii-mse-/" TargetMode="External"/><Relationship Id="rId31" Type="http://schemas.openxmlformats.org/officeDocument/2006/relationships/hyperlink" Target="https://medvestnik.ru/content/news/Sledovateli-nachali-vozbujdat-ugolovnye-dela-na-medrabotnikov-po-kajdoi-vtoroi-jalob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Novye-pravila-oplaty-truda-nastavnikov-vstupyat-v-deistvie-s-marta-2025-goda.html" TargetMode="External"/><Relationship Id="rId14" Type="http://schemas.openxmlformats.org/officeDocument/2006/relationships/hyperlink" Target="https://medvestnik.ru/content/news/Pravitelstvo-dopolnitelno-profinansiruet-zakupku-oborudovaniya-dlya-neonatalnogo-skrininga.html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medvestnik.ru/apps/mv/assets/storage/content/news/1052/105257/novayapapka/grafik_4.png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medvestnik.ru/content/news/Eto-ne-povyshenie-oplaty-a-pererabotki-eksperty-pro-situaciu-na-skoroi-pomoshi.html" TargetMode="External"/><Relationship Id="rId8" Type="http://schemas.openxmlformats.org/officeDocument/2006/relationships/hyperlink" Target="https://medvestnik.ru/content/news/Vrachei-povysyat-do-nastavnikov-kak-eto-otrazitsya-na-nagruzke-i-zarplate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2024-11-11T13:46:00Z</dcterms:created>
  <dcterms:modified xsi:type="dcterms:W3CDTF">2024-11-11T13:46:00Z</dcterms:modified>
</cp:coreProperties>
</file>